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bookmarkStart w:id="1" w:name="_GoBack"/>
      <w:bookmarkEnd w:id="1"/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spacing w:line="1760" w:lineRule="exact"/>
        <w:jc w:val="center"/>
        <w:rPr>
          <w:rFonts w:hint="eastAsia" w:ascii="方正小标宋简体" w:hAnsi="华文宋体" w:eastAsia="方正小标宋简体"/>
          <w:snapToGrid w:val="0"/>
          <w:color w:val="FF0000"/>
          <w:spacing w:val="40"/>
          <w:w w:val="55"/>
          <w:kern w:val="0"/>
          <w:sz w:val="130"/>
          <w:szCs w:val="130"/>
        </w:rPr>
      </w:pPr>
      <w:r>
        <w:rPr>
          <w:rFonts w:hint="eastAsia" w:ascii="方正小标宋简体" w:hAnsi="华文宋体" w:eastAsia="方正小标宋简体"/>
          <w:snapToGrid w:val="0"/>
          <w:color w:val="FF0000"/>
          <w:spacing w:val="40"/>
          <w:w w:val="55"/>
          <w:kern w:val="0"/>
          <w:sz w:val="130"/>
          <w:szCs w:val="130"/>
        </w:rPr>
        <w:t>天津市科学技术局文件</w:t>
      </w:r>
    </w:p>
    <w:p>
      <w:pPr>
        <w:jc w:val="center"/>
        <w:rPr>
          <w:rFonts w:hint="eastAsia" w:ascii="仿宋_GB2312" w:hAnsi="宋体" w:eastAsia="仿宋_GB2312"/>
          <w:color w:val="FF0000"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/>
          <w:color w:val="FF0000"/>
          <w:sz w:val="32"/>
          <w:szCs w:val="32"/>
        </w:rPr>
      </w:pPr>
    </w:p>
    <w:p>
      <w:pPr>
        <w:adjustRightInd w:val="0"/>
        <w:snapToGrid w:val="0"/>
        <w:spacing w:line="3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</w:t>
      </w:r>
      <w:r>
        <w:rPr>
          <w:rFonts w:hint="eastAsia" w:eastAsia="仿宋_GB2312"/>
          <w:sz w:val="32"/>
          <w:szCs w:val="32"/>
          <w:lang w:eastAsia="zh-CN"/>
        </w:rPr>
        <w:t>科规</w:t>
      </w:r>
      <w:r>
        <w:rPr>
          <w:rFonts w:eastAsia="仿宋_GB2312"/>
          <w:sz w:val="32"/>
          <w:szCs w:val="32"/>
        </w:rPr>
        <w:t>〔</w:t>
      </w:r>
      <w:r>
        <w:rPr>
          <w:rFonts w:hint="eastAsia" w:ascii="Nimbus Roman No9 L" w:hAnsi="Nimbus Roman No9 L" w:eastAsia="Nimbus Roman No9 L" w:cs="Nimbus Roman No9 L"/>
          <w:sz w:val="32"/>
          <w:szCs w:val="32"/>
        </w:rPr>
        <w:t>20</w:t>
      </w:r>
      <w:r>
        <w:rPr>
          <w:rFonts w:hint="eastAsia" w:ascii="Nimbus Roman No9 L" w:hAnsi="Nimbus Roman No9 L" w:eastAsia="SimSun" w:cs="Nimbus Roman No9 L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〕</w:t>
      </w:r>
      <w:r>
        <w:rPr>
          <w:rFonts w:hint="eastAsia" w:ascii="Nimbus Roman No9 L" w:hAnsi="Nimbus Roman No9 L" w:eastAsia="SimSun" w:cs="Nimbus Roman No9 L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号</w:t>
      </w:r>
    </w:p>
    <w:p>
      <w:pPr>
        <w:spacing w:line="360" w:lineRule="exact"/>
        <w:jc w:val="center"/>
        <w:rPr>
          <w:rFonts w:hint="eastAsia" w:ascii="宋体" w:hAnsi="宋体"/>
          <w:sz w:val="32"/>
          <w:szCs w:val="32"/>
        </w:rPr>
      </w:pPr>
      <w:r>
        <w:rPr>
          <w:rFonts w:hint="eastAsia" w:ascii="仿宋_GB2312" w:hAnsi="宋体" w:eastAsia="仿宋_GB2312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121285</wp:posOffset>
                </wp:positionV>
                <wp:extent cx="5615940" cy="0"/>
                <wp:effectExtent l="0" t="9525" r="3810" b="9525"/>
                <wp:wrapNone/>
                <wp:docPr id="1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margin-left:0.1pt;margin-top:9.55pt;height:0pt;width:442.2pt;z-index:251658240;mso-width-relative:page;mso-height-relative:page;" filled="f" stroked="t" coordsize="21600,21600" o:gfxdata="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Bqv6jt1AAA&#10;AAYBAAAPAAAAAAAAAAEAIAAAADgAAABkcnMvZG93bnJldi54bWxQSwECFAAUAAAACACHTuJA+qQ5&#10;+tMBAACSAwAADgAAAAAAAAABACAAAAA5AQAAZHJzL2Uyb0RvYy54bWxQSwUGAAAAAAYABgBZAQAA&#10;fg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adjustRightInd w:val="0"/>
        <w:snapToGrid w:val="0"/>
        <w:spacing w:line="560" w:lineRule="exact"/>
        <w:jc w:val="both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仿宋_GB2312" w:hAnsi="宋体" w:eastAsia="仿宋_GB2312"/>
          <w:b/>
          <w:sz w:val="44"/>
          <w:szCs w:val="44"/>
        </w:rPr>
      </w:pPr>
    </w:p>
    <w:p>
      <w:pPr>
        <w:adjustRightInd w:val="0"/>
        <w:snapToGrid w:val="0"/>
        <w:spacing w:line="680" w:lineRule="exact"/>
        <w:jc w:val="center"/>
        <w:rPr>
          <w:rFonts w:hint="default" w:ascii="Times New Roman" w:eastAsia="方正小标宋简体"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市科技局关于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  <w:lang w:eastAsia="zh-CN"/>
        </w:rPr>
        <w:t>印发</w:t>
      </w:r>
      <w:r>
        <w:rPr>
          <w:rFonts w:hint="default" w:ascii="Times New Roman" w:eastAsia="方正小标宋简体"/>
          <w:snapToGrid w:val="0"/>
          <w:color w:val="auto"/>
          <w:kern w:val="0"/>
          <w:sz w:val="44"/>
          <w:szCs w:val="44"/>
          <w:highlight w:val="none"/>
        </w:rPr>
        <w:t>天津市科技计划项目</w:t>
      </w:r>
    </w:p>
    <w:p>
      <w:pPr>
        <w:adjustRightInd w:val="0"/>
        <w:snapToGrid w:val="0"/>
        <w:spacing w:line="680" w:lineRule="exact"/>
        <w:jc w:val="center"/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</w:pPr>
      <w:r>
        <w:rPr>
          <w:rFonts w:hint="default" w:ascii="Times New Roman" w:eastAsia="方正小标宋简体"/>
          <w:snapToGrid w:val="0"/>
          <w:color w:val="auto"/>
          <w:kern w:val="0"/>
          <w:sz w:val="44"/>
          <w:szCs w:val="44"/>
          <w:highlight w:val="none"/>
        </w:rPr>
        <w:t>验收管理办法</w:t>
      </w:r>
      <w:r>
        <w:rPr>
          <w:rFonts w:hint="eastAsia" w:ascii="方正小标宋简体" w:hAnsi="宋体" w:eastAsia="方正小标宋简体"/>
          <w:snapToGrid w:val="0"/>
          <w:kern w:val="0"/>
          <w:sz w:val="44"/>
          <w:szCs w:val="44"/>
        </w:rPr>
        <w:t>的通知</w:t>
      </w: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371"/>
          <w:tab w:val="left" w:pos="7513"/>
        </w:tabs>
        <w:adjustRightInd w:val="0"/>
        <w:snapToGrid w:val="0"/>
        <w:spacing w:line="560" w:lineRule="exact"/>
        <w:rPr>
          <w:rFonts w:hint="eastAsia" w:eastAsia="仿宋_GB2312"/>
          <w:snapToGrid w:val="0"/>
          <w:kern w:val="0"/>
          <w:sz w:val="32"/>
          <w:szCs w:val="32"/>
          <w:lang w:val="en"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" w:eastAsia="zh-CN"/>
        </w:rPr>
        <w:t>各有关单位：</w:t>
      </w:r>
    </w:p>
    <w:p>
      <w:pPr>
        <w:tabs>
          <w:tab w:val="left" w:pos="7371"/>
          <w:tab w:val="left" w:pos="7513"/>
        </w:tabs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  <w:lang w:val="en" w:eastAsia="zh-CN"/>
        </w:rPr>
      </w:pPr>
      <w:r>
        <w:rPr>
          <w:rFonts w:hint="eastAsia" w:eastAsia="仿宋_GB2312"/>
          <w:snapToGrid w:val="0"/>
          <w:kern w:val="0"/>
          <w:sz w:val="32"/>
          <w:szCs w:val="32"/>
          <w:lang w:val="en" w:eastAsia="zh-CN"/>
        </w:rPr>
        <w:t>为组织做好天津市科技计划项目验收工作，保证项目验收的科学性、规范性、公正性，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根据</w:t>
      </w:r>
      <w:r>
        <w:rPr>
          <w:rFonts w:hint="eastAsia" w:eastAsia="仿宋_GB2312"/>
          <w:snapToGrid w:val="0"/>
          <w:kern w:val="0"/>
          <w:sz w:val="32"/>
          <w:szCs w:val="32"/>
          <w:lang w:val="en" w:eastAsia="zh-CN"/>
        </w:rPr>
        <w:t>《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关于优化科研管理提升科研绩效若干措施》（津政发〔</w:t>
      </w:r>
      <w:r>
        <w:rPr>
          <w:rFonts w:hint="default" w:ascii="Nimbus Roman No9 L" w:hAnsi="Nimbus Roman No9 L" w:eastAsia="仿宋_GB2312"/>
          <w:snapToGrid w:val="0"/>
          <w:kern w:val="0"/>
          <w:sz w:val="32"/>
          <w:szCs w:val="32"/>
          <w:lang w:val="en" w:eastAsia="zh-CN"/>
        </w:rPr>
        <w:t>2018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〕</w:t>
      </w:r>
      <w:r>
        <w:rPr>
          <w:rFonts w:hint="default" w:ascii="Nimbus Roman No9 L" w:hAnsi="Nimbus Roman No9 L" w:eastAsia="仿宋_GB2312"/>
          <w:snapToGrid w:val="0"/>
          <w:kern w:val="0"/>
          <w:sz w:val="32"/>
          <w:szCs w:val="32"/>
          <w:lang w:val="en" w:eastAsia="zh-CN"/>
        </w:rPr>
        <w:t>27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号）《天津市科技计划项目管理办法》（津科</w:t>
      </w:r>
      <w:r>
        <w:rPr>
          <w:rFonts w:hint="eastAsia" w:eastAsia="仿宋_GB2312"/>
          <w:snapToGrid w:val="0"/>
          <w:kern w:val="0"/>
          <w:sz w:val="32"/>
          <w:szCs w:val="32"/>
          <w:lang w:val="en" w:eastAsia="zh-CN"/>
        </w:rPr>
        <w:t>规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〔</w:t>
      </w:r>
      <w:r>
        <w:rPr>
          <w:rFonts w:hint="default" w:ascii="Nimbus Roman No9 L" w:hAnsi="Nimbus Roman No9 L" w:eastAsia="仿宋_GB2312"/>
          <w:snapToGrid w:val="0"/>
          <w:kern w:val="0"/>
          <w:sz w:val="32"/>
          <w:szCs w:val="32"/>
          <w:lang w:val="en" w:eastAsia="zh-CN"/>
        </w:rPr>
        <w:t>2022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〕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7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号）《天津市科技计划项目科研诚信管理办法》（津科规〔</w:t>
      </w:r>
      <w:r>
        <w:rPr>
          <w:rFonts w:hint="default" w:ascii="Nimbus Roman No9 L" w:hAnsi="Nimbus Roman No9 L" w:eastAsia="仿宋_GB2312"/>
          <w:snapToGrid w:val="0"/>
          <w:kern w:val="0"/>
          <w:sz w:val="32"/>
          <w:szCs w:val="32"/>
          <w:lang w:val="en" w:eastAsia="zh-CN"/>
        </w:rPr>
        <w:t>2022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〕</w:t>
      </w:r>
      <w:r>
        <w:rPr>
          <w:rFonts w:hint="default" w:ascii="Nimbus Roman No9 L" w:hAnsi="Nimbus Roman No9 L" w:eastAsia="仿宋_GB2312"/>
          <w:snapToGrid w:val="0"/>
          <w:kern w:val="0"/>
          <w:sz w:val="32"/>
          <w:szCs w:val="32"/>
          <w:lang w:val="en" w:eastAsia="zh-CN"/>
        </w:rPr>
        <w:t>2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号）等</w:t>
      </w:r>
      <w:r>
        <w:rPr>
          <w:rFonts w:hint="eastAsia" w:eastAsia="仿宋_GB2312"/>
          <w:snapToGrid w:val="0"/>
          <w:kern w:val="0"/>
          <w:sz w:val="32"/>
          <w:szCs w:val="32"/>
          <w:lang w:val="en" w:eastAsia="zh-CN"/>
        </w:rPr>
        <w:t>文件要求，市科技局制定了《天津市科技计划项目验收管理办法》。现印发给你们，请遵照执行。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0" w:firstLineChars="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</w:p>
    <w:p>
      <w:pPr>
        <w:tabs>
          <w:tab w:val="left" w:pos="7513"/>
        </w:tabs>
        <w:adjustRightInd w:val="0"/>
        <w:snapToGrid w:val="0"/>
        <w:spacing w:line="560" w:lineRule="exact"/>
        <w:ind w:firstLine="5481" w:firstLineChars="1809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Nimbus Roman No9 L" w:hAnsi="Nimbus Roman No9 L" w:eastAsia="Nimbus Roman No9 L" w:cs="Nimbus Roman No9 L"/>
          <w:snapToGrid w:val="0"/>
          <w:kern w:val="0"/>
          <w:sz w:val="32"/>
          <w:szCs w:val="32"/>
        </w:rPr>
        <w:t>2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" w:eastAsia="zh-CN"/>
        </w:rPr>
        <w:t>0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23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年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月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  <w:t>日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</w:rPr>
        <w:t>（此件主动公开）</w:t>
      </w:r>
    </w:p>
    <w:p>
      <w:pPr>
        <w:shd w:val="clear"/>
        <w:tabs>
          <w:tab w:val="left" w:pos="7513"/>
        </w:tabs>
        <w:adjustRightInd w:val="0"/>
        <w:snapToGrid w:val="0"/>
        <w:spacing w:line="680" w:lineRule="exact"/>
        <w:jc w:val="center"/>
        <w:rPr>
          <w:rFonts w:ascii="Times New Roman" w:eastAsia="方正小标宋简体"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ascii="仿宋_GB2312" w:eastAsia="仿宋_GB2312"/>
          <w:snapToGrid w:val="0"/>
          <w:kern w:val="0"/>
          <w:sz w:val="32"/>
          <w:szCs w:val="32"/>
        </w:rPr>
        <w:br w:type="page"/>
      </w:r>
      <w:r>
        <w:rPr>
          <w:rFonts w:hint="default" w:ascii="Times New Roman" w:eastAsia="方正小标宋简体"/>
          <w:snapToGrid w:val="0"/>
          <w:color w:val="auto"/>
          <w:kern w:val="0"/>
          <w:sz w:val="44"/>
          <w:szCs w:val="44"/>
          <w:highlight w:val="none"/>
        </w:rPr>
        <w:t>天津市科技计划项目验收管理办法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第一章 总则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pStyle w:val="6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640"/>
        <w:jc w:val="both"/>
        <w:textAlignment w:val="auto"/>
        <w:rPr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sz w:val="32"/>
          <w:szCs w:val="32"/>
          <w:highlight w:val="none"/>
        </w:rPr>
        <w:t xml:space="preserve">第一条 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为进一步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  <w:t>优化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天津市科技计划项目验收管理，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  <w:t>根据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关于优化科研管理提升科研绩效若干措施》（津政发〔</w:t>
      </w:r>
      <w:r>
        <w:rPr>
          <w:rFonts w:hint="default" w:ascii="Nimbus Roman No9 L" w:hAnsi="Nimbus Roman No9 L" w:eastAsia="仿宋_GB2312" w:cs="Times New Roman"/>
          <w:snapToGrid w:val="0"/>
          <w:color w:val="auto"/>
          <w:sz w:val="32"/>
          <w:szCs w:val="32"/>
          <w:highlight w:val="none"/>
        </w:rPr>
        <w:t>2018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〕</w:t>
      </w:r>
      <w:r>
        <w:rPr>
          <w:rFonts w:hint="default" w:ascii="Nimbus Roman No9 L" w:hAnsi="Nimbus Roman No9 L" w:eastAsia="仿宋_GB2312" w:cs="Times New Roman"/>
          <w:snapToGrid w:val="0"/>
          <w:color w:val="auto"/>
          <w:sz w:val="32"/>
          <w:szCs w:val="32"/>
          <w:highlight w:val="none"/>
        </w:rPr>
        <w:t>27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号）《天津市科技计划项目管理办法》（津科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  <w:t>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〔</w:t>
      </w:r>
      <w:r>
        <w:rPr>
          <w:rFonts w:hint="default" w:ascii="Nimbus Roman No9 L" w:hAnsi="Nimbus Roman No9 L" w:eastAsia="仿宋_GB2312" w:cs="Times New Roman"/>
          <w:snapToGrid w:val="0"/>
          <w:color w:val="auto"/>
          <w:sz w:val="32"/>
          <w:szCs w:val="32"/>
          <w:highlight w:val="none"/>
        </w:rPr>
        <w:t>2022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〕</w:t>
      </w:r>
      <w:r>
        <w:rPr>
          <w:rFonts w:hint="eastAsia" w:ascii="Nimbus Roman No9 L" w:hAnsi="Nimbus Roman No9 L" w:eastAsia="仿宋_GB2312" w:cs="Times New Roman"/>
          <w:snapToGrid w:val="0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号）《天津市科技计划项目科研诚信管理办法》（津科规〔</w:t>
      </w:r>
      <w:r>
        <w:rPr>
          <w:rFonts w:hint="default" w:ascii="Nimbus Roman No9 L" w:hAnsi="Nimbus Roman No9 L" w:eastAsia="仿宋_GB2312" w:cs="Times New Roman"/>
          <w:snapToGrid w:val="0"/>
          <w:color w:val="auto"/>
          <w:sz w:val="32"/>
          <w:szCs w:val="32"/>
          <w:highlight w:val="none"/>
        </w:rPr>
        <w:t>2022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〕</w:t>
      </w:r>
      <w:r>
        <w:rPr>
          <w:rFonts w:hint="default" w:ascii="Nimbus Roman No9 L" w:hAnsi="Nimbus Roman No9 L" w:eastAsia="仿宋_GB2312" w:cs="Times New Roman"/>
          <w:snapToGrid w:val="0"/>
          <w:color w:val="auto"/>
          <w:sz w:val="32"/>
          <w:szCs w:val="32"/>
          <w:highlight w:val="none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号）等</w:t>
      </w:r>
      <w:r>
        <w:rPr>
          <w:rFonts w:hint="eastAsia" w:eastAsia="仿宋_GB2312" w:cs="Times New Roman"/>
          <w:snapToGrid w:val="0"/>
          <w:color w:val="auto"/>
          <w:sz w:val="32"/>
          <w:szCs w:val="32"/>
          <w:highlight w:val="none"/>
          <w:lang w:eastAsia="zh-CN"/>
        </w:rPr>
        <w:t>文件要求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  <w:highlight w:val="none"/>
        </w:rPr>
        <w:t>，制定本办法。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第二条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科技计划项目验收（以下简称项目验收）是科技计划项目管理的重要环节，天津市科学技术局（以下简称市科技局）组织实施的科技计划项目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（以下简称项目），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按本办法进行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 xml:space="preserve">验收。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第三条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项目验收坚持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实事求是、科学规范、分类评价、精简高效的原则，以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天津市科技计划项目任务合同书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（以下简称任务合同书）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为依据，针对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应用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基础研究类、技术和产品开发类、应用示范类等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不同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项目类型，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根据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同行评议、用户评价、第三方评价等情况，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采取一次性综合绩效评价的方式，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</w:rPr>
        <w:t>对项目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  <w:lang w:eastAsia="zh-CN"/>
        </w:rPr>
        <w:t>目标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</w:rPr>
        <w:t>任务完成情况、资金使用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  <w:lang w:eastAsia="zh-CN"/>
        </w:rPr>
        <w:t>情况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</w:rPr>
        <w:t>等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  <w:lang w:eastAsia="zh-CN"/>
        </w:rPr>
        <w:t>方面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</w:rPr>
        <w:t>进行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  <w:lang w:eastAsia="zh-CN"/>
        </w:rPr>
        <w:t>验收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</w:rPr>
        <w:t>评价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default" w:ascii="Times New Roman" w:eastAsia="仿宋_GB2312"/>
          <w:snapToGrid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第四条 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市科技局</w:t>
      </w:r>
      <w:r>
        <w:rPr>
          <w:rFonts w:hint="eastAsia" w:eastAsia="仿宋_GB2312"/>
          <w:snapToGrid w:val="0"/>
          <w:color w:val="auto"/>
          <w:sz w:val="32"/>
          <w:szCs w:val="32"/>
          <w:highlight w:val="none"/>
          <w:lang w:val="en-US" w:eastAsia="zh-CN"/>
        </w:rPr>
        <w:t>通过政府采购确定承担项目验收工作的项目管理服务机构，</w:t>
      </w:r>
      <w:r>
        <w:rPr>
          <w:rFonts w:hint="default" w:ascii="Times New Roman" w:eastAsia="仿宋_GB2312"/>
          <w:snapToGrid w:val="0"/>
          <w:color w:val="auto"/>
          <w:sz w:val="32"/>
          <w:szCs w:val="32"/>
          <w:highlight w:val="none"/>
        </w:rPr>
        <w:t>并对项目管理服务机构</w:t>
      </w:r>
      <w:r>
        <w:rPr>
          <w:rFonts w:hint="eastAsia" w:eastAsia="仿宋_GB2312"/>
          <w:snapToGrid w:val="0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eastAsia="仿宋_GB2312"/>
          <w:snapToGrid w:val="0"/>
          <w:color w:val="auto"/>
          <w:sz w:val="32"/>
          <w:szCs w:val="32"/>
          <w:highlight w:val="none"/>
        </w:rPr>
        <w:t>工作进行监督评估。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Times New Roman" w:eastAsia="仿宋_GB2312"/>
          <w:snapToGrid w:val="0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color w:val="auto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第五条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项目负责人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应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按要求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规定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的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目标和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任务，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遵守项目验收相关规定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，及时提交项目验收申请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default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履行项目验收各项义务，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确保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按时完成项目验收。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第六条 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项目第一承担单位是项目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实施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的责任主体，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必须在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执行期满后</w:t>
      </w:r>
      <w:r>
        <w:rPr>
          <w:rFonts w:hint="default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6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个月内牵头完成项目验收。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项目负责人提交验收申请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后，项目第一承担单位负责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对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验收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申请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真实性、准确性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完整性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开展单位审查。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color w:val="auto"/>
          <w:highlight w:val="none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第七条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项目第一承担单位的上级主管部门或注册地所在区（功能区）科技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行政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部门是项目组织单位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，应督促管理范围内项目第一承担单位实施和完成项目，及时对通过单位审查的验收申请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开展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组织单位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审查。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第八条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项目管理服务机构受市科技局委托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具体开展</w:t>
      </w:r>
      <w:r>
        <w:rPr>
          <w:rFonts w:hint="default" w:ascii="Times New Roman" w:eastAsia="仿宋_GB2312"/>
          <w:snapToGrid w:val="0"/>
          <w:color w:val="auto"/>
          <w:sz w:val="32"/>
          <w:szCs w:val="32"/>
          <w:highlight w:val="none"/>
        </w:rPr>
        <w:t>项目验收</w:t>
      </w:r>
      <w:r>
        <w:rPr>
          <w:rFonts w:hint="eastAsia" w:eastAsia="仿宋_GB2312"/>
          <w:snapToGrid w:val="0"/>
          <w:color w:val="auto"/>
          <w:sz w:val="32"/>
          <w:szCs w:val="32"/>
          <w:highlight w:val="none"/>
          <w:lang w:eastAsia="zh-CN"/>
        </w:rPr>
        <w:t>，负责提供“一站式验收服务”，对通过组织单位审查的验收申请</w:t>
      </w:r>
      <w:r>
        <w:rPr>
          <w:rFonts w:hint="eastAsia" w:eastAsia="仿宋_GB2312"/>
          <w:snapToGrid w:val="0"/>
          <w:color w:val="auto"/>
          <w:sz w:val="32"/>
          <w:szCs w:val="32"/>
          <w:highlight w:val="none"/>
          <w:lang w:val="en-US" w:eastAsia="zh-CN"/>
        </w:rPr>
        <w:t>材料</w:t>
      </w:r>
      <w:r>
        <w:rPr>
          <w:rFonts w:hint="eastAsia" w:eastAsia="仿宋_GB2312"/>
          <w:snapToGrid w:val="0"/>
          <w:color w:val="auto"/>
          <w:sz w:val="32"/>
          <w:szCs w:val="32"/>
          <w:highlight w:val="none"/>
          <w:lang w:eastAsia="zh-CN"/>
        </w:rPr>
        <w:t>开展服务</w:t>
      </w:r>
      <w:r>
        <w:rPr>
          <w:rFonts w:hint="eastAsia" w:eastAsia="仿宋_GB2312"/>
          <w:snapToGrid w:val="0"/>
          <w:color w:val="auto"/>
          <w:sz w:val="32"/>
          <w:szCs w:val="32"/>
          <w:highlight w:val="none"/>
          <w:lang w:val="en-US" w:eastAsia="zh-CN"/>
        </w:rPr>
        <w:t>机构</w:t>
      </w:r>
      <w:r>
        <w:rPr>
          <w:rFonts w:hint="default" w:ascii="Times New Roman" w:eastAsia="仿宋_GB2312"/>
          <w:snapToGrid w:val="0"/>
          <w:color w:val="auto"/>
          <w:sz w:val="32"/>
          <w:szCs w:val="32"/>
          <w:highlight w:val="none"/>
        </w:rPr>
        <w:t>审查</w:t>
      </w:r>
      <w:r>
        <w:rPr>
          <w:rFonts w:hint="eastAsia" w:eastAsia="仿宋_GB2312"/>
          <w:snapToGrid w:val="0"/>
          <w:color w:val="auto"/>
          <w:sz w:val="32"/>
          <w:szCs w:val="32"/>
          <w:highlight w:val="none"/>
          <w:lang w:eastAsia="zh-CN"/>
        </w:rPr>
        <w:t>，并组织后续验收评价等工作</w:t>
      </w:r>
      <w:r>
        <w:rPr>
          <w:rFonts w:hint="default" w:ascii="Times New Roman" w:eastAsia="仿宋_GB2312"/>
          <w:snapToGrid w:val="0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第九条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项目验收依托天津市科技计划项目管理信息系统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在线办理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，市科技局加强项目验收的信息化管理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/>
        <w:textAlignment w:val="auto"/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  <w:t>第二章 验收内容</w:t>
      </w:r>
      <w:r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  <w:t>形式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第十条</w:t>
      </w:r>
      <w:r>
        <w:rPr>
          <w:rFonts w:hint="default" w:ascii="Times New Roman" w:eastAsia="仿宋_GB2312"/>
          <w:bCs/>
          <w:snapToGrid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项目验收以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为依据，根据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不同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项目类型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，对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  <w:lang w:eastAsia="zh-CN"/>
        </w:rPr>
        <w:t>目标</w:t>
      </w:r>
      <w:r>
        <w:rPr>
          <w:rFonts w:hint="eastAsia" w:ascii="仿宋_GB2312" w:hAnsi="宋体" w:eastAsia="仿宋_GB2312" w:cs="宋体"/>
          <w:snapToGrid w:val="0"/>
          <w:color w:val="auto"/>
          <w:kern w:val="0"/>
          <w:sz w:val="32"/>
          <w:szCs w:val="32"/>
          <w:highlight w:val="none"/>
        </w:rPr>
        <w:t>任务、资金使用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、成果效益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人才培养、组织管理等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开展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综合绩效评价。主要内容包括：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（一）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合同规定的</w:t>
      </w:r>
      <w:r>
        <w:rPr>
          <w:rFonts w:hint="default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工作、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技术、</w:t>
      </w:r>
      <w:r>
        <w:rPr>
          <w:rFonts w:hint="default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效益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指标完成情况；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（二）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资金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拨付与到位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、预算执行与调整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会计核算与资金使用等情况；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项目取得的代表性</w:t>
      </w:r>
      <w:r>
        <w:rPr>
          <w:rFonts w:hint="eastAsia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成果、成果转化应用、人才队伍建设等</w:t>
      </w:r>
      <w:r>
        <w:rPr>
          <w:rFonts w:hint="default" w:eastAsia="仿宋_GB2312" w:cs="Times New Roman"/>
          <w:b w:val="0"/>
          <w:bCs w:val="0"/>
          <w:i w:val="0"/>
          <w:iCs w:val="0"/>
          <w:snapToGrid w:val="0"/>
          <w:color w:val="auto"/>
          <w:kern w:val="0"/>
          <w:sz w:val="32"/>
          <w:szCs w:val="32"/>
          <w:highlight w:val="none"/>
          <w:lang w:eastAsia="zh-CN"/>
        </w:rPr>
        <w:t>情况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项目实施过程中的组织管理等情况。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eastAsia="仿宋_GB2312"/>
          <w:bCs/>
          <w:snapToGrid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项目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验收方式主要包括会议验收、材料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集中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评审验收和审核验收。项目管理服务机构从天津市科技专家库中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/>
          <w:lang w:eastAsia="zh-CN"/>
        </w:rPr>
        <w:t>抽取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/>
        </w:rPr>
        <w:t>技术、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/>
          <w:lang w:eastAsia="zh-CN"/>
        </w:rPr>
        <w:t>管理、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/>
        </w:rPr>
        <w:t>财务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/>
          <w:lang w:eastAsia="zh-CN"/>
        </w:rPr>
        <w:t>专家作为验收专家，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shd w:val="clear"/>
        </w:rPr>
        <w:t>组成验收专家组（以下简称专家组）开展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会议验收、材料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集中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评审验收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其中技术专家不少于三分之二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，技术专家可兼任管理专家。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验收结论经专家组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多数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同意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方为有效。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eastAsia="仿宋_GB2312"/>
          <w:bCs/>
          <w:snapToGrid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会议验收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是指</w:t>
      </w:r>
      <w:r>
        <w:rPr>
          <w:rFonts w:hint="eastAsia" w:ascii="仿宋_GB2312" w:hAnsi="宋体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专家组通过现场会议的形式，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经听取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项目汇报、专家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质询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、专家组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讨论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等程序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形成验收结论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。根据项目实际情况可增加实地考察、实地测试等环节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会议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验收适用于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市财政资金支持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含）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以上的项目。其中，市财政资金支持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50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含）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以上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100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万元以下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项目，专家组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人数不少于</w:t>
      </w:r>
      <w:r>
        <w:rPr>
          <w:rFonts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；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市财政资金支持</w:t>
      </w:r>
      <w:r>
        <w:rPr>
          <w:rFonts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100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万元（含）以上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Nimbus Roman No9 L" w:hAnsi="Nimbus Roman No9 L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1000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万元以下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的项目，专家组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人数不少于</w:t>
      </w:r>
      <w:r>
        <w:rPr>
          <w:rFonts w:hint="default" w:ascii="Nimbus Roman No9 L" w:hAnsi="Nimbus Roman No9 L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5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人；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市财政资金支持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1000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万元（含）以上的项目，专家组人数不少于</w:t>
      </w:r>
      <w:r>
        <w:rPr>
          <w:rFonts w:hint="default" w:ascii="Nimbus Roman No9 L" w:hAnsi="Nimbus Roman No9 L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7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人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。因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疫情等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不可抗力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因素导致无法召开现场会议，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可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采用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视频会议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方式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第十三条</w:t>
      </w:r>
      <w:r>
        <w:rPr>
          <w:rFonts w:hint="eastAsia" w:eastAsia="仿宋_GB2312" w:cs="Times New Roman"/>
          <w:snapToGrid w:val="0"/>
          <w:color w:val="C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材料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集中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评审验收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是指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专家组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通过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现场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集中评审验收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，经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集体讨论形成验收结论。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材料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集中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评审验收</w:t>
      </w:r>
      <w:r>
        <w:rPr>
          <w:rFonts w:hint="eastAsia" w:ascii="仿宋_GB2312" w:hAnsi="宋体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适用于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市财政资金支持</w:t>
      </w:r>
      <w:r>
        <w:rPr>
          <w:rFonts w:hint="default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10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以上、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0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万元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以下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的项目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，专家组由</w:t>
      </w:r>
      <w:r>
        <w:rPr>
          <w:rFonts w:hint="eastAsia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人组成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验收过程中，专家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根据需要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，可通过电话、视频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连线等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方式对项目负责人开展质询；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经多数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专家同意，可要求项目重新采用会议验收方式进行验收。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项目负责人根据需要，可主动申请采用会议验收方式进行验收。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第十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审核验收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是指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市科技局项目主管处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（或委托项目监理机构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依据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审核验收材料形成验收结论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审核验收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适用于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市财政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资金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支持</w:t>
      </w:r>
      <w:r>
        <w:rPr>
          <w:rFonts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10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万元（含）以下的项目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第十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eastAsia="仿宋_GB2312"/>
          <w:bCs/>
          <w:snapToGrid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对创新项目形成机制形成的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“揭榜挂帅”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、工程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科技发展战略研究项目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等，</w:t>
      </w:r>
      <w:r>
        <w:rPr>
          <w:rFonts w:hint="default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可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根据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项目形成特点和管理要求</w:t>
      </w:r>
      <w:r>
        <w:rPr>
          <w:rFonts w:hint="default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对验收程序、专家比例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、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专家来源等进行调整</w:t>
      </w:r>
      <w:r>
        <w:rPr>
          <w:rFonts w:hint="default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探索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“一类型、一方案”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进行</w:t>
      </w:r>
      <w:r>
        <w:rPr>
          <w:rFonts w:hint="default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验收。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应用基础研究自主立项项目，由试点单位自主验收。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bookmarkStart w:id="0" w:name="_Hlk106318096"/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第三章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验收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申请与审查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第十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条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项目负责人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在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执行期满后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，登录天津市科技计划项目管理信息系统在线填报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、提交验收申请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。任务合同书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执行期超过三分之二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、市财政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资金拨付到位</w:t>
      </w:r>
      <w:r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已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全面完成任务合同书规定的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目标和任务的项目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可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申请提前验收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eastAsia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第十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条</w:t>
      </w:r>
      <w:r>
        <w:rPr>
          <w:rFonts w:hint="eastAsia" w:eastAsia="仿宋_GB2312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napToGrid w:val="0"/>
          <w:color w:val="auto"/>
          <w:kern w:val="0"/>
          <w:sz w:val="32"/>
          <w:szCs w:val="32"/>
          <w:highlight w:val="none"/>
        </w:rPr>
        <w:t>验收材料包括：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（一）任务合同书；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（二）天津市科技计划项目结项报告书；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（三）天津市科技计划项目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综合绩效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自评价报告；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）项目第一承担单位、项目负责人科研诚信承诺书；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）天津市科技计划项目科技报告；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（六）项目调整协议（项目如有调整需提供）；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（七）市财政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资金支持</w:t>
      </w:r>
      <w:r>
        <w:rPr>
          <w:rFonts w:hint="eastAsia" w:ascii="Nimbus Roman No9 L" w:hAnsi="Nimbus Roman No9 L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100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万元（含）以上的项目须提交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专项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审计报告；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eastAsia="仿宋_GB2312"/>
          <w:color w:val="auto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）涉及科技伦理审查的项目，提供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科技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伦理（审查）委员会出具的伦理审查批件，以及跟踪审查意见等结论性材料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其它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相关附件材料：结合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目标和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任务，提供测试报告、专利证书、发表论著、用户使用证明、项目产品销售合同或发票、经济社会效益分析报告等辅助佐证材料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第十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条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项目第一承担单位、项目组织单位、项目管理服务机构在线依次对验收申请材料开展审查。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验收申请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被审查驳回的项目，项目负责人应及时针对审查驳回意见，补充完善验收申请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，并重新提交。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center"/>
        <w:textAlignment w:val="auto"/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 xml:space="preserve">第四章 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验收受理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与组织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center"/>
        <w:textAlignment w:val="auto"/>
        <w:rPr>
          <w:rFonts w:hint="default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第十九条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验收申请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仿宋_GB2312"/>
          <w:snapToGrid w:val="0"/>
          <w:color w:val="auto"/>
          <w:kern w:val="0"/>
          <w:sz w:val="32"/>
          <w:szCs w:val="32"/>
          <w:highlight w:val="none"/>
        </w:rPr>
        <w:t>通过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项目管理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服务机构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审查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的项目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，项目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负责人应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按照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相关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要求，在线打印验收材料，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履行签字、盖章等手续后，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提交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项目管理服务机构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。项目管理服务机构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在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受理合格的验收材料后，原则上在</w:t>
      </w:r>
      <w:r>
        <w:rPr>
          <w:rFonts w:hint="eastAsia" w:ascii="Nimbus Roman No9 L" w:hAnsi="Nimbus Roman No9 L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个工作日内组织完成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后续验收评价等工作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二十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 xml:space="preserve">条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项目验收结论包括“通过验收”、“终止验收”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“不通过验收”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目标和任务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资金使用合理合规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的项目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，给予“通过验收”结论。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凡有下列情况之一的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，给予“终止验收”结论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Nimbus Roman No9 L" w:hAnsi="Nimbus Roman No9 L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因不可抗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力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因素，或因现有水平和条件难以克服的障碍，致使项目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能完成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任务合同书规定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目标和任务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Nimbus Roman No9 L" w:hAnsi="Nimbus Roman No9 L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按照《天津市科技计划项目管理办法》等有关规定，项目第一承担单位主动申请项目终止的情况。</w:t>
      </w:r>
    </w:p>
    <w:p>
      <w:pPr>
        <w:pStyle w:val="1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市财政经费支持</w:t>
      </w:r>
      <w:r>
        <w:rPr>
          <w:rFonts w:ascii="Nimbus Roman No9 L" w:hAnsi="Nimbus Roman No9 L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50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万元（含）以上的项目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，项目第一承担单位主动</w:t>
      </w:r>
      <w:r>
        <w:rPr>
          <w:rFonts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申请项目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终止，须提请市科技局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局长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办公会审议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eastAsia="zh-CN"/>
        </w:rPr>
        <w:t>。审议通过后，按照会议验收程序，经专家组同意，给予“终止验收”结论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凡有下列情况之一的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，给予“不通过验收”结论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按照国家和我市有关规定，对相关责任主体给予处理。涉嫌犯罪的，移交司法机关处理：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w w:val="98"/>
          <w:kern w:val="0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 w:cs="仿宋_GB2312"/>
          <w:snapToGrid w:val="0"/>
          <w:color w:val="auto"/>
          <w:w w:val="100"/>
          <w:kern w:val="0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napToGrid w:val="0"/>
          <w:color w:val="auto"/>
          <w:w w:val="100"/>
          <w:kern w:val="0"/>
          <w:sz w:val="32"/>
          <w:szCs w:val="32"/>
          <w:highlight w:val="none"/>
          <w:lang w:val="en-US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w w:val="98"/>
          <w:kern w:val="0"/>
          <w:sz w:val="32"/>
          <w:szCs w:val="32"/>
          <w:highlight w:val="none"/>
          <w:lang w:eastAsia="zh-CN"/>
        </w:rPr>
        <w:t>因非不可抗力因素</w:t>
      </w:r>
      <w:r>
        <w:rPr>
          <w:rFonts w:hint="eastAsia" w:ascii="仿宋_GB2312" w:hAnsi="仿宋_GB2312" w:eastAsia="仿宋_GB2312" w:cs="仿宋_GB2312"/>
          <w:snapToGrid w:val="0"/>
          <w:color w:val="auto"/>
          <w:w w:val="98"/>
          <w:kern w:val="0"/>
          <w:sz w:val="32"/>
          <w:szCs w:val="32"/>
          <w:highlight w:val="none"/>
        </w:rPr>
        <w:t>未完成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任务合同书规定的主要目标和任务</w:t>
      </w:r>
      <w:r>
        <w:rPr>
          <w:rFonts w:hint="eastAsia" w:ascii="仿宋_GB2312" w:hAnsi="仿宋_GB2312" w:eastAsia="仿宋_GB2312" w:cs="仿宋_GB2312"/>
          <w:snapToGrid w:val="0"/>
          <w:color w:val="auto"/>
          <w:w w:val="98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提供的验收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不真实；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擅自修改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目标和任务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4</w:t>
      </w:r>
      <w:r>
        <w:rPr>
          <w:rFonts w:hint="default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存在弄虚作假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挪用等违规使用项目资金的行为；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Nimbus Roman No9 L" w:hAnsi="Nimbus Roman No9 L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违反科技伦理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规范；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color w:val="auto"/>
          <w:highlight w:val="none"/>
          <w:vertAlign w:val="baseline"/>
        </w:rPr>
      </w:pPr>
      <w:r>
        <w:rPr>
          <w:rFonts w:hint="eastAsia" w:ascii="Nimbus Roman No9 L" w:hAnsi="Nimbus Roman No9 L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/>
          <w:lang w:val="en" w:eastAsia="zh-CN"/>
        </w:rPr>
        <w:t>.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shd w:val="clear"/>
          <w:lang w:eastAsia="zh-CN"/>
        </w:rPr>
        <w:t>未按时按质提供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shd w:val="clear"/>
        </w:rPr>
        <w:t>专家组要求补充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shd w:val="clear"/>
          <w:lang w:eastAsia="zh-CN"/>
        </w:rPr>
        <w:t>、完善的支撑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shd w:val="clear"/>
        </w:rPr>
        <w:t>材料</w:t>
      </w:r>
      <w:r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highlight w:val="none"/>
          <w:shd w:val="clear"/>
          <w:lang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第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二十一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项目第一承担单位、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项目负责人存在以下行为，导致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执行期满后</w:t>
      </w:r>
      <w:r>
        <w:rPr>
          <w:rFonts w:hint="default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6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个月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未完成项目验收的，按照国家和我市有关规定，对项目及相关责任主体给予处理：</w:t>
      </w:r>
    </w:p>
    <w:p>
      <w:pPr>
        <w:pStyle w:val="1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）未及时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在线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提交验收申请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pStyle w:val="1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）验收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申请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被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驳回后未及时修改提交；</w:t>
      </w:r>
    </w:p>
    <w:p>
      <w:pPr>
        <w:pStyle w:val="1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default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</w:t>
      </w:r>
      <w:r>
        <w:rPr>
          <w:rFonts w:hint="default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验收申</w:t>
      </w:r>
      <w:r>
        <w:rPr>
          <w:rFonts w:hint="eastAsia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请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通过项目管理服务机构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审查</w:t>
      </w:r>
      <w:r>
        <w:rPr>
          <w:rFonts w:hint="eastAsia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后，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未及时</w:t>
      </w:r>
      <w:r>
        <w:rPr>
          <w:rFonts w:hint="eastAsia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打印、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提交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履行完签字、盖章等手续的</w:t>
      </w:r>
      <w:r>
        <w:rPr>
          <w:rFonts w:hint="eastAsia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验收材料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pStyle w:val="1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）不配合</w:t>
      </w:r>
      <w:r>
        <w:rPr>
          <w:rFonts w:hint="eastAsia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开展会议验收等工作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；</w:t>
      </w:r>
    </w:p>
    <w:p>
      <w:pPr>
        <w:pStyle w:val="1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jc w:val="left"/>
        <w:textAlignment w:val="auto"/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（五）不按规定退回市级财政科研项目结余资金；</w:t>
      </w:r>
    </w:p>
    <w:p>
      <w:pPr>
        <w:pStyle w:val="1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jc w:val="left"/>
        <w:textAlignment w:val="auto"/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（</w:t>
      </w:r>
      <w:r>
        <w:rPr>
          <w:rFonts w:hint="eastAsia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）其他</w:t>
      </w:r>
      <w:r>
        <w:rPr>
          <w:rFonts w:hint="eastAsia" w:ascii="仿宋_GB2312" w:hAnsi="仿宋_GB2312" w:eastAsia="仿宋_GB2312" w:cs="仿宋_GB2312"/>
          <w:snapToGrid w:val="0"/>
          <w:color w:val="auto"/>
          <w:w w:val="98"/>
          <w:kern w:val="0"/>
          <w:sz w:val="32"/>
          <w:szCs w:val="32"/>
          <w:highlight w:val="none"/>
          <w:lang w:eastAsia="zh-CN"/>
        </w:rPr>
        <w:t>非不可抗力因素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导致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任务合同书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执行期满后</w:t>
      </w:r>
      <w:r>
        <w:rPr>
          <w:rFonts w:hint="default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</w:rPr>
        <w:t>6</w:t>
      </w:r>
      <w:r>
        <w:rPr>
          <w:rFonts w:hint="default" w:ascii="Times New Roman" w:eastAsia="仿宋_GB2312"/>
          <w:snapToGrid w:val="0"/>
          <w:color w:val="auto"/>
          <w:kern w:val="0"/>
          <w:sz w:val="32"/>
          <w:szCs w:val="32"/>
          <w:highlight w:val="none"/>
        </w:rPr>
        <w:t>个月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仍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未完成项目验收的</w:t>
      </w:r>
      <w:r>
        <w:rPr>
          <w:rFonts w:hint="default" w:ascii="Times New Roman" w:hAnsi="Times New Roman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情况。</w:t>
      </w:r>
    </w:p>
    <w:p>
      <w:pPr>
        <w:pStyle w:val="19"/>
        <w:keepNext w:val="0"/>
        <w:keepLines w:val="0"/>
        <w:pageBreakBefore w:val="0"/>
        <w:widowControl w:val="0"/>
        <w:numPr>
          <w:ilvl w:val="0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第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二十二</w:t>
      </w: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 xml:space="preserve"> 验收结论为“通过验收”的项目，项目结余财政资金按照市财政科研项目经费管理有关规定执行。验收结论为“终止验收”、“不通过验收”的项目，未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专项审计的，需开展专项审计，审计报告确定的</w:t>
      </w:r>
      <w:r>
        <w:rPr>
          <w:rFonts w:hint="eastAsia" w:eastAsia="仿宋_GB2312" w:cs="Times New Roman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市级财政科研项目结余资金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</w:rPr>
        <w:t>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原拨付渠道退回。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二十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形成项目验收结论后，由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项目管理服务机构录入天津市科技计划项目管理信息系统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，并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出具结项确认书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。</w:t>
      </w:r>
    </w:p>
    <w:p>
      <w:pPr>
        <w:pStyle w:val="1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第</w:t>
      </w:r>
      <w:r>
        <w:rPr>
          <w:rFonts w:hint="eastAsia" w:eastAsia="黑体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二十四</w:t>
      </w:r>
      <w:r>
        <w:rPr>
          <w:rFonts w:hint="default" w:ascii="Times New Roman" w:hAnsi="Times New Roman" w:eastAsia="黑体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u w:val="none"/>
        </w:rPr>
        <w:t>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负责人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验收结论有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疑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议的，可在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接到通知</w:t>
      </w:r>
      <w:r>
        <w:rPr>
          <w:rFonts w:hint="eastAsia" w:ascii="Nimbus Roman No9 L" w:hAnsi="Nimbus Roman No9 L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日内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向项目管理服务机构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提出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重新验收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申请。</w:t>
      </w:r>
    </w:p>
    <w:p>
      <w:pPr>
        <w:pStyle w:val="19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0"/>
        <w:jc w:val="left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eastAsia="黑体"/>
          <w:bCs/>
          <w:snapToGrid w:val="0"/>
          <w:color w:val="auto"/>
          <w:kern w:val="0"/>
          <w:sz w:val="32"/>
          <w:szCs w:val="32"/>
          <w:highlight w:val="none"/>
          <w:lang w:eastAsia="zh-CN"/>
        </w:rPr>
        <w:t>五</w:t>
      </w:r>
      <w:r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  <w:t>章 验收管理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二十五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项目管理服务机构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应认真履行职责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，并主动接受市科技局和社会监督。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  <w:t>主要职责包括：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（一）严格遵守国家和我市关于项目管理服务机构的有关规定，严格履行项目验收服务合同约定，规范内部运行和工作人员管理，严格遵守保密、廉洁、回避等制度，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高效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规范、安全、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</w:rPr>
        <w:t>廉洁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地开展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验收工作；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二）提供项目验收“一站式服务”，开展验收申请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的集中审查、验收材料的集中受理、验收咨询的集中回复；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三）严格执行项目验收程序，从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天津市科技专家库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/>
        </w:rPr>
        <w:t>抽取专家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组织会议验收和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材料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集中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>评审验收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shd w:val="clear"/>
          <w:lang w:val="en-US" w:eastAsia="zh-CN"/>
        </w:rPr>
        <w:t>，规范验收专家管理；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80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w w:val="96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w w:val="96"/>
          <w:kern w:val="0"/>
          <w:sz w:val="32"/>
          <w:szCs w:val="32"/>
          <w:highlight w:val="none"/>
          <w:shd w:val="clear" w:color="auto" w:fill="auto"/>
        </w:rPr>
        <w:t>（</w:t>
      </w:r>
      <w:r>
        <w:rPr>
          <w:rFonts w:hint="eastAsia" w:ascii="仿宋_GB2312" w:hAnsi="仿宋_GB2312" w:eastAsia="仿宋_GB2312" w:cs="仿宋_GB2312"/>
          <w:snapToGrid w:val="0"/>
          <w:color w:val="auto"/>
          <w:w w:val="96"/>
          <w:kern w:val="0"/>
          <w:sz w:val="32"/>
          <w:szCs w:val="32"/>
          <w:highlight w:val="none"/>
          <w:shd w:val="clear" w:color="auto" w:fill="auto"/>
          <w:lang w:eastAsia="zh-CN"/>
        </w:rPr>
        <w:t>四</w:t>
      </w:r>
      <w:r>
        <w:rPr>
          <w:rFonts w:hint="eastAsia" w:ascii="仿宋_GB2312" w:hAnsi="仿宋_GB2312" w:eastAsia="仿宋_GB2312" w:cs="仿宋_GB2312"/>
          <w:snapToGrid w:val="0"/>
          <w:color w:val="auto"/>
          <w:w w:val="96"/>
          <w:kern w:val="0"/>
          <w:sz w:val="32"/>
          <w:szCs w:val="32"/>
          <w:highlight w:val="none"/>
          <w:shd w:val="clear" w:color="auto" w:fill="auto"/>
        </w:rPr>
        <w:t>）及时客观向市科技局反映工作中发现</w:t>
      </w:r>
      <w:r>
        <w:rPr>
          <w:rFonts w:hint="eastAsia" w:ascii="仿宋_GB2312" w:hAnsi="仿宋_GB2312" w:eastAsia="仿宋_GB2312" w:cs="仿宋_GB2312"/>
          <w:snapToGrid w:val="0"/>
          <w:color w:val="auto"/>
          <w:w w:val="96"/>
          <w:kern w:val="0"/>
          <w:sz w:val="32"/>
          <w:szCs w:val="32"/>
          <w:highlight w:val="none"/>
          <w:shd w:val="clear" w:color="auto" w:fill="auto"/>
          <w:lang w:val="en-US" w:eastAsia="zh-CN"/>
        </w:rPr>
        <w:t>的违法违规</w:t>
      </w:r>
      <w:r>
        <w:rPr>
          <w:rFonts w:hint="eastAsia" w:ascii="仿宋_GB2312" w:hAnsi="仿宋_GB2312" w:eastAsia="仿宋_GB2312" w:cs="仿宋_GB2312"/>
          <w:snapToGrid w:val="0"/>
          <w:color w:val="auto"/>
          <w:w w:val="96"/>
          <w:kern w:val="0"/>
          <w:sz w:val="32"/>
          <w:szCs w:val="32"/>
          <w:highlight w:val="none"/>
          <w:shd w:val="clear" w:color="auto" w:fill="auto"/>
        </w:rPr>
        <w:t>问题</w:t>
      </w:r>
      <w:r>
        <w:rPr>
          <w:rFonts w:hint="eastAsia" w:ascii="仿宋_GB2312" w:hAnsi="仿宋_GB2312" w:eastAsia="仿宋_GB2312" w:cs="仿宋_GB2312"/>
          <w:snapToGrid w:val="0"/>
          <w:color w:val="auto"/>
          <w:w w:val="96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第</w:t>
      </w:r>
      <w:r>
        <w:rPr>
          <w:rFonts w:hint="eastAsia" w:eastAsia="黑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二十六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条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 xml:space="preserve"> 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eastAsia="zh-CN"/>
        </w:rPr>
        <w:t>验收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专家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eastAsia="zh-CN"/>
        </w:rPr>
        <w:t>应恪尽职业操守，按照独立、客观、公正的原则进行审核评议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/>
        <w:textAlignment w:val="auto"/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  <w:t>第</w:t>
      </w:r>
      <w:r>
        <w:rPr>
          <w:rFonts w:hint="eastAsia" w:eastAsia="黑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  <w:t>二十七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 w:bidi="ar"/>
        </w:rPr>
        <w:t>条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 xml:space="preserve"> 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项目第一承担单位、项目负责人、项目管理服务机构、验收专家等应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严格遵守国家科学技术活动保密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等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相关规定。项目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第一承担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单位、项目负责人提交的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验收材料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中不得涉及国家秘密。验收专家、项目管理服务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机构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工作人员必须严格</w:t>
      </w:r>
      <w:r>
        <w:rPr>
          <w:rFonts w:hint="default" w:ascii="Times New Roman" w:eastAsia="仿宋_GB2312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保守</w:t>
      </w:r>
      <w:r>
        <w:rPr>
          <w:rFonts w:hint="eastAsia" w:eastAsia="仿宋_GB2312" w:cs="Times New Roman"/>
          <w:b w:val="0"/>
          <w:bCs w:val="0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工作秘密，不得泄露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验收过程中需要保密的评审意见、专家名单等信息，不得泄露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/>
        </w:rPr>
        <w:t>违规使用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被验收项目的商业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秘密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、个人隐私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。项目管理服务机构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应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与验收专家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及其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工作人员签署保密协议。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第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二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十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八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条</w:t>
      </w:r>
      <w:r>
        <w:rPr>
          <w:rFonts w:hint="default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 xml:space="preserve"> 严格执行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项目</w:t>
      </w:r>
      <w:r>
        <w:rPr>
          <w:rFonts w:hint="default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 w:bidi="ar"/>
        </w:rPr>
        <w:t>验收回避制度，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项目管理服务机构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eastAsia="zh-CN"/>
        </w:rPr>
        <w:t>工作人员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与项目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eastAsia="zh-CN"/>
        </w:rPr>
        <w:t>第一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承担单位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eastAsia="zh-CN"/>
        </w:rPr>
        <w:t>、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val="en-US" w:eastAsia="zh-CN"/>
        </w:rPr>
        <w:t>项目负责人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存在利益关系，应主动声明并回避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/>
          <w:lang w:eastAsia="zh-CN"/>
        </w:rPr>
        <w:t>。</w:t>
      </w:r>
      <w:r>
        <w:rPr>
          <w:rFonts w:hint="default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bidi="ar"/>
        </w:rPr>
        <w:t>验收专家与被验收项目存在利益关系，应主动申请回避。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项目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eastAsia="zh-CN"/>
        </w:rPr>
        <w:t>第一</w:t>
      </w:r>
      <w:r>
        <w:rPr>
          <w:rFonts w:hint="default" w:asci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/>
        </w:rPr>
        <w:t>承担单位</w:t>
      </w:r>
      <w:r>
        <w:rPr>
          <w:rFonts w:hint="eastAsia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val="en-US" w:eastAsia="zh-CN"/>
        </w:rPr>
        <w:t>、项目负责人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</w:rPr>
        <w:t>认为存在回避事由，可提出回避申请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highlight w:val="none"/>
          <w:shd w:val="clear" w:fill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第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二十九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 xml:space="preserve">条 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项目管理服务机构及其工作人员、验收专家</w:t>
      </w:r>
      <w:r>
        <w:rPr>
          <w:rFonts w:hint="default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验收工作中出现管理失职、徇私舞弊、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接受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请托、泄露保密信息</w:t>
      </w:r>
      <w:r>
        <w:rPr>
          <w:rFonts w:hint="default" w:asci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、违反回避制度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等行为，按照国家和我市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有关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规定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，对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相关责任主体给予处理</w:t>
      </w:r>
      <w:r>
        <w:rPr>
          <w:rFonts w:hint="eastAsia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u w:val="none"/>
          <w:lang w:val="en-US" w:eastAsia="zh-CN"/>
        </w:rPr>
        <w:t>涉嫌犯罪的，移交司法机关处理。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第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三十</w:t>
      </w:r>
      <w:r>
        <w:rPr>
          <w:rFonts w:hint="eastAsia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条</w:t>
      </w:r>
      <w:r>
        <w:rPr>
          <w:rFonts w:hint="eastAsia" w:eastAsia="仿宋_GB2312" w:cs="Times New Roman"/>
          <w:snapToGrid w:val="0"/>
          <w:color w:val="C00000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深化项目验收“放管服”改革，探索推进“零跑动”、“无纸化”、“承诺制”等新机制，进一步提升项目验收服务水平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eastAsia="黑体"/>
          <w:bCs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六</w:t>
      </w:r>
      <w:r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  <w:t>章 附则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黑体"/>
          <w:bCs/>
          <w:snapToGrid w:val="0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rFonts w:hint="default" w:eastAsia="仿宋_GB2312"/>
          <w:snapToGrid w:val="0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三十一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 xml:space="preserve"> 本办法</w:t>
      </w:r>
      <w:r>
        <w:rPr>
          <w:rFonts w:hint="eastAsia" w:eastAsia="仿宋_GB2312"/>
          <w:snapToGrid w:val="0"/>
          <w:color w:val="auto"/>
          <w:kern w:val="0"/>
          <w:sz w:val="32"/>
          <w:szCs w:val="32"/>
          <w:highlight w:val="none"/>
        </w:rPr>
        <w:t>自</w:t>
      </w:r>
      <w:r>
        <w:rPr>
          <w:rFonts w:hint="default" w:ascii="Nimbus Roman No9 L" w:hAnsi="Nimbus Roman No9 L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202</w:t>
      </w:r>
      <w:r>
        <w:rPr>
          <w:rFonts w:hint="eastAsia" w:ascii="Nimbus Roman No9 L" w:hAnsi="Nimbus Roman No9 L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Nimbus Roman No9 L" w:hAnsi="Nimbus Roman No9 L" w:eastAsia="仿宋_GB2312" w:cs="Times New Roman"/>
          <w:b w:val="0"/>
          <w:bCs w:val="0"/>
          <w:snapToGrid w:val="0"/>
          <w:color w:val="auto"/>
          <w:kern w:val="0"/>
          <w:sz w:val="32"/>
          <w:szCs w:val="32"/>
          <w:highlight w:val="none"/>
          <w:lang w:val="en" w:eastAsia="zh-CN" w:bidi="ar-SA"/>
        </w:rPr>
        <w:t>9</w:t>
      </w:r>
      <w:r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  <w:t>月</w:t>
      </w:r>
      <w:r>
        <w:rPr>
          <w:rFonts w:hint="default" w:ascii="Nimbus Roman No9 L" w:hAnsi="Nimbus Roman No9 L" w:eastAsia="仿宋_GB2312"/>
          <w:snapToGrid w:val="0"/>
          <w:color w:val="auto"/>
          <w:kern w:val="0"/>
          <w:sz w:val="32"/>
          <w:szCs w:val="32"/>
          <w:highlight w:val="none"/>
          <w:lang w:val="en" w:eastAsia="zh-CN"/>
        </w:rPr>
        <w:t>11</w:t>
      </w:r>
      <w:r>
        <w:rPr>
          <w:rFonts w:hint="default" w:eastAsia="仿宋_GB2312"/>
          <w:snapToGrid w:val="0"/>
          <w:kern w:val="0"/>
          <w:sz w:val="32"/>
          <w:szCs w:val="32"/>
          <w:lang w:val="en-US" w:eastAsia="zh-CN"/>
        </w:rPr>
        <w:t>日</w:t>
      </w:r>
      <w:r>
        <w:rPr>
          <w:rFonts w:hint="eastAsia" w:eastAsia="仿宋_GB2312"/>
          <w:snapToGrid w:val="0"/>
          <w:kern w:val="0"/>
          <w:sz w:val="32"/>
          <w:szCs w:val="32"/>
          <w:lang w:val="en" w:eastAsia="zh-CN"/>
        </w:rPr>
        <w:t>起施行，有效期</w:t>
      </w:r>
      <w:r>
        <w:rPr>
          <w:rFonts w:hint="default" w:ascii="Nimbus Roman No9 L" w:hAnsi="Nimbus Roman No9 L" w:eastAsia="仿宋_GB2312"/>
          <w:snapToGrid w:val="0"/>
          <w:kern w:val="0"/>
          <w:sz w:val="32"/>
          <w:szCs w:val="32"/>
          <w:lang w:val="en" w:eastAsia="zh-CN"/>
        </w:rPr>
        <w:t>5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年，《天津市科技计划项目验收管理办法（暂行）》（津科规〔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2017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〕</w:t>
      </w:r>
      <w:r>
        <w:rPr>
          <w:rFonts w:hint="eastAsia" w:ascii="Nimbus Roman No9 L" w:hAnsi="Nimbus Roman No9 L" w:eastAsia="仿宋_GB2312"/>
          <w:snapToGrid w:val="0"/>
          <w:kern w:val="0"/>
          <w:sz w:val="32"/>
          <w:szCs w:val="32"/>
          <w:lang w:val="en-US" w:eastAsia="zh-CN"/>
        </w:rPr>
        <w:t>2</w:t>
      </w:r>
      <w:r>
        <w:rPr>
          <w:rFonts w:hint="eastAsia" w:eastAsia="仿宋_GB2312"/>
          <w:snapToGrid w:val="0"/>
          <w:kern w:val="0"/>
          <w:sz w:val="32"/>
          <w:szCs w:val="32"/>
          <w:lang w:val="en-US" w:eastAsia="zh-CN"/>
        </w:rPr>
        <w:t>号）同时废止</w:t>
      </w:r>
      <w:r>
        <w:rPr>
          <w:rFonts w:hint="eastAsia" w:eastAsia="仿宋_GB2312"/>
          <w:snapToGrid w:val="0"/>
          <w:kern w:val="0"/>
          <w:sz w:val="32"/>
          <w:szCs w:val="32"/>
          <w:lang w:val="en" w:eastAsia="zh-CN"/>
        </w:rPr>
        <w:t>。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06" w:firstLineChars="200"/>
        <w:textAlignment w:val="auto"/>
        <w:rPr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第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eastAsia="zh-CN"/>
        </w:rPr>
        <w:t>三十</w:t>
      </w:r>
      <w:r>
        <w:rPr>
          <w:rFonts w:hint="eastAsia" w:eastAsia="黑体" w:cs="Times New Roman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highlight w:val="none"/>
        </w:rPr>
        <w:t>条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32"/>
          <w:szCs w:val="32"/>
          <w:highlight w:val="none"/>
        </w:rPr>
        <w:t xml:space="preserve"> 本办法由市科技局负责解释。</w:t>
      </w: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06" w:firstLineChars="200"/>
        <w:rPr>
          <w:rFonts w:hint="eastAsia" w:eastAsia="仿宋_GB2312"/>
          <w:snapToGrid w:val="0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369570</wp:posOffset>
                </wp:positionV>
                <wp:extent cx="5615940" cy="0"/>
                <wp:effectExtent l="0" t="9525" r="3810" b="9525"/>
                <wp:wrapNone/>
                <wp:docPr id="4" name="直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7" o:spid="_x0000_s1026" o:spt="20" style="position:absolute;left:0pt;margin-top:29.1pt;height:0pt;width:442.2pt;mso-position-horizontal:center;z-index:251661312;mso-width-relative:page;mso-height-relative:page;" filled="f" stroked="t" coordsize="21600,21600" o:allowincell="f" o:gfxdata="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6y4bo0wAAAAYB&#10;AAAPAAAAAAAAAAEAIAAAADgAAABkcnMvZG93bnJldi54bWxQSwECFAAUAAAACACHTuJA83FNJNEB&#10;AACSAwAADgAAAAAAAAABACAAAAA4AQAAZHJzL2Uyb0RvYy54bWxQSwUGAAAAAAYABgBZAQAAewUA&#10;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right="-1" w:rightChars="-1" w:firstLine="263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369570</wp:posOffset>
                </wp:positionV>
                <wp:extent cx="5615940" cy="0"/>
                <wp:effectExtent l="0" t="9525" r="3810" b="9525"/>
                <wp:wrapNone/>
                <wp:docPr id="5" name="直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直线 39" o:spid="_x0000_s1026" o:spt="20" style="position:absolute;left:0pt;margin-top:29.1pt;height:0pt;width:442.2pt;mso-position-horizontal:center;z-index:251662336;mso-width-relative:page;mso-height-relative:page;" filled="f" stroked="t" coordsize="21600,21600" o:allowincell="f" o:gfxdata="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DrLhujTAAAABgEA&#10;AA8AAAAAAAAAAQAgAAAAOAAAAGRycy9kb3ducmV2LnhtbFBLAQIUABQAAAAIAIdO4kCgqdEf0AEA&#10;AJIDAAAOAAAAAAAAAAEAIAAAADgBAABkcnMvZTJvRG9jLnhtbFBLBQYAAAAABgAGAFkBAAB6BQAA&#10;AAA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 xml:space="preserve">天津市科学技术局办公室                   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default" w:eastAsia="仿宋_GB2312"/>
          <w:sz w:val="28"/>
          <w:szCs w:val="28"/>
          <w:lang w:val="en"/>
        </w:rPr>
        <w:t xml:space="preserve">  </w:t>
      </w:r>
      <w:r>
        <w:rPr>
          <w:rFonts w:hint="eastAsia" w:ascii="Nimbus Roman No9 L" w:hAnsi="Nimbus Roman No9 L" w:eastAsia="Nimbus Roman No9 L" w:cs="Nimbus Roman No9 L"/>
          <w:sz w:val="28"/>
          <w:szCs w:val="28"/>
        </w:rPr>
        <w:t>20</w:t>
      </w:r>
      <w:r>
        <w:rPr>
          <w:rFonts w:hint="default" w:ascii="Nimbus Roman No9 L" w:hAnsi="Nimbus Roman No9 L" w:eastAsia="Nimbus Roman No9 L" w:cs="Nimbus Roman No9 L"/>
          <w:sz w:val="28"/>
          <w:szCs w:val="28"/>
          <w:lang w:val="en"/>
        </w:rPr>
        <w:t>23</w:t>
      </w:r>
      <w:r>
        <w:rPr>
          <w:rFonts w:eastAsia="仿宋_GB2312"/>
          <w:sz w:val="28"/>
          <w:szCs w:val="28"/>
        </w:rPr>
        <w:t>年</w:t>
      </w:r>
      <w:r>
        <w:rPr>
          <w:rFonts w:hint="default" w:ascii="Nimbus Roman No9 L" w:hAnsi="Nimbus Roman No9 L" w:eastAsia="Nimbus Roman No9 L" w:cs="Nimbus Roman No9 L"/>
          <w:sz w:val="28"/>
          <w:szCs w:val="28"/>
          <w:lang w:val="en"/>
        </w:rPr>
        <w:t>9</w:t>
      </w:r>
      <w:r>
        <w:rPr>
          <w:rFonts w:eastAsia="仿宋_GB2312"/>
          <w:sz w:val="28"/>
          <w:szCs w:val="28"/>
        </w:rPr>
        <w:t>月</w:t>
      </w:r>
      <w:r>
        <w:rPr>
          <w:rFonts w:hint="eastAsia" w:ascii="Nimbus Roman No9 L" w:hAnsi="Nimbus Roman No9 L" w:eastAsia="SimSun" w:cs="Nimbus Roman No9 L"/>
          <w:sz w:val="28"/>
          <w:szCs w:val="28"/>
          <w:lang w:val="en-US" w:eastAsia="zh-CN"/>
        </w:rPr>
        <w:t>11</w:t>
      </w:r>
      <w:r>
        <w:rPr>
          <w:rFonts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</w:rPr>
        <w:t>印发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720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0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8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revisionView w:markup="0"/>
  <w:trackRevisions w:val="true"/>
  <w:documentProtection w:enforcement="0"/>
  <w:defaultTabStop w:val="420"/>
  <w:hyphenationZone w:val="360"/>
  <w:evenAndOddHeaders w:val="true"/>
  <w:drawingGridHorizontalSpacing w:val="96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81A"/>
    <w:rsid w:val="00002F68"/>
    <w:rsid w:val="000144F3"/>
    <w:rsid w:val="00020C56"/>
    <w:rsid w:val="00033803"/>
    <w:rsid w:val="00046F69"/>
    <w:rsid w:val="00047EED"/>
    <w:rsid w:val="00056CC5"/>
    <w:rsid w:val="00072218"/>
    <w:rsid w:val="00083430"/>
    <w:rsid w:val="00083F8C"/>
    <w:rsid w:val="000904EE"/>
    <w:rsid w:val="000A0ABC"/>
    <w:rsid w:val="000A4124"/>
    <w:rsid w:val="000B54C1"/>
    <w:rsid w:val="000B5FF0"/>
    <w:rsid w:val="000B6363"/>
    <w:rsid w:val="000B6B4C"/>
    <w:rsid w:val="000C711D"/>
    <w:rsid w:val="000D3295"/>
    <w:rsid w:val="000D5F7A"/>
    <w:rsid w:val="00100C4E"/>
    <w:rsid w:val="001032D1"/>
    <w:rsid w:val="00107027"/>
    <w:rsid w:val="00163844"/>
    <w:rsid w:val="00166523"/>
    <w:rsid w:val="001A2DE2"/>
    <w:rsid w:val="001C0711"/>
    <w:rsid w:val="001D4F6B"/>
    <w:rsid w:val="001F2E84"/>
    <w:rsid w:val="001F4533"/>
    <w:rsid w:val="001F581A"/>
    <w:rsid w:val="001F7967"/>
    <w:rsid w:val="00212C15"/>
    <w:rsid w:val="002305B4"/>
    <w:rsid w:val="00236910"/>
    <w:rsid w:val="00240AAF"/>
    <w:rsid w:val="00260207"/>
    <w:rsid w:val="00266704"/>
    <w:rsid w:val="00284EA7"/>
    <w:rsid w:val="002A7BE3"/>
    <w:rsid w:val="002B63CF"/>
    <w:rsid w:val="002C284E"/>
    <w:rsid w:val="002C4980"/>
    <w:rsid w:val="002E404E"/>
    <w:rsid w:val="002E473F"/>
    <w:rsid w:val="002E7C55"/>
    <w:rsid w:val="002E7F7D"/>
    <w:rsid w:val="00302117"/>
    <w:rsid w:val="00307012"/>
    <w:rsid w:val="00344FFC"/>
    <w:rsid w:val="003564B8"/>
    <w:rsid w:val="0036324B"/>
    <w:rsid w:val="0039400E"/>
    <w:rsid w:val="003A0AC9"/>
    <w:rsid w:val="003A3DA5"/>
    <w:rsid w:val="003B29D8"/>
    <w:rsid w:val="003B38AB"/>
    <w:rsid w:val="003B3968"/>
    <w:rsid w:val="003E737B"/>
    <w:rsid w:val="003F3155"/>
    <w:rsid w:val="003F43D1"/>
    <w:rsid w:val="00406175"/>
    <w:rsid w:val="00411811"/>
    <w:rsid w:val="00421FC7"/>
    <w:rsid w:val="004226FF"/>
    <w:rsid w:val="004405C3"/>
    <w:rsid w:val="00442A6F"/>
    <w:rsid w:val="004440A5"/>
    <w:rsid w:val="0044535C"/>
    <w:rsid w:val="0045180F"/>
    <w:rsid w:val="00454417"/>
    <w:rsid w:val="004544E1"/>
    <w:rsid w:val="004655FB"/>
    <w:rsid w:val="004835AC"/>
    <w:rsid w:val="004A07BE"/>
    <w:rsid w:val="004A2739"/>
    <w:rsid w:val="004A4E51"/>
    <w:rsid w:val="004B0A1A"/>
    <w:rsid w:val="004B5B63"/>
    <w:rsid w:val="004B5CEB"/>
    <w:rsid w:val="004B6ABC"/>
    <w:rsid w:val="004C289E"/>
    <w:rsid w:val="004C3631"/>
    <w:rsid w:val="004D26C0"/>
    <w:rsid w:val="004F3D93"/>
    <w:rsid w:val="00506EAE"/>
    <w:rsid w:val="0055024E"/>
    <w:rsid w:val="0055385C"/>
    <w:rsid w:val="00553E11"/>
    <w:rsid w:val="00557316"/>
    <w:rsid w:val="00560A51"/>
    <w:rsid w:val="00561059"/>
    <w:rsid w:val="0057569C"/>
    <w:rsid w:val="00584B0F"/>
    <w:rsid w:val="005860B8"/>
    <w:rsid w:val="005C06AF"/>
    <w:rsid w:val="005E38E6"/>
    <w:rsid w:val="005E39D8"/>
    <w:rsid w:val="005E6A9B"/>
    <w:rsid w:val="005F0582"/>
    <w:rsid w:val="005F0A0C"/>
    <w:rsid w:val="006023B2"/>
    <w:rsid w:val="00606809"/>
    <w:rsid w:val="00607A73"/>
    <w:rsid w:val="006174A7"/>
    <w:rsid w:val="006222EE"/>
    <w:rsid w:val="006225AD"/>
    <w:rsid w:val="0064073B"/>
    <w:rsid w:val="006439FE"/>
    <w:rsid w:val="00646DF0"/>
    <w:rsid w:val="00653696"/>
    <w:rsid w:val="00663A31"/>
    <w:rsid w:val="00664E24"/>
    <w:rsid w:val="0067276C"/>
    <w:rsid w:val="00677C1D"/>
    <w:rsid w:val="00677D79"/>
    <w:rsid w:val="006838F7"/>
    <w:rsid w:val="006871A3"/>
    <w:rsid w:val="006A05AB"/>
    <w:rsid w:val="006A2A00"/>
    <w:rsid w:val="006F4EB6"/>
    <w:rsid w:val="00701D78"/>
    <w:rsid w:val="00711092"/>
    <w:rsid w:val="007177BD"/>
    <w:rsid w:val="00733C03"/>
    <w:rsid w:val="00734B13"/>
    <w:rsid w:val="00736EB7"/>
    <w:rsid w:val="00737A8C"/>
    <w:rsid w:val="00751B1B"/>
    <w:rsid w:val="00754CAD"/>
    <w:rsid w:val="00756732"/>
    <w:rsid w:val="007615B2"/>
    <w:rsid w:val="007640B0"/>
    <w:rsid w:val="00780B93"/>
    <w:rsid w:val="007816D4"/>
    <w:rsid w:val="007A7D56"/>
    <w:rsid w:val="007B2D83"/>
    <w:rsid w:val="007E0ACD"/>
    <w:rsid w:val="008003A1"/>
    <w:rsid w:val="00803B03"/>
    <w:rsid w:val="0080438F"/>
    <w:rsid w:val="0081210F"/>
    <w:rsid w:val="00830F62"/>
    <w:rsid w:val="0083146E"/>
    <w:rsid w:val="008512B8"/>
    <w:rsid w:val="00855652"/>
    <w:rsid w:val="00861F8F"/>
    <w:rsid w:val="0088379F"/>
    <w:rsid w:val="00887228"/>
    <w:rsid w:val="00894A0F"/>
    <w:rsid w:val="008B44FB"/>
    <w:rsid w:val="008C1364"/>
    <w:rsid w:val="008C6F81"/>
    <w:rsid w:val="008D303B"/>
    <w:rsid w:val="008E078B"/>
    <w:rsid w:val="008E4A3E"/>
    <w:rsid w:val="009210E4"/>
    <w:rsid w:val="00924233"/>
    <w:rsid w:val="00934CBC"/>
    <w:rsid w:val="0093608A"/>
    <w:rsid w:val="00943BFA"/>
    <w:rsid w:val="00957FEC"/>
    <w:rsid w:val="009634C8"/>
    <w:rsid w:val="0097316F"/>
    <w:rsid w:val="009745EA"/>
    <w:rsid w:val="00974A79"/>
    <w:rsid w:val="0098720A"/>
    <w:rsid w:val="00987666"/>
    <w:rsid w:val="009B117D"/>
    <w:rsid w:val="009B265E"/>
    <w:rsid w:val="009B273F"/>
    <w:rsid w:val="009B62F6"/>
    <w:rsid w:val="009C28DB"/>
    <w:rsid w:val="009F7282"/>
    <w:rsid w:val="00A271FD"/>
    <w:rsid w:val="00A324DD"/>
    <w:rsid w:val="00A441EB"/>
    <w:rsid w:val="00A456D6"/>
    <w:rsid w:val="00A461E7"/>
    <w:rsid w:val="00A462EC"/>
    <w:rsid w:val="00A51E02"/>
    <w:rsid w:val="00A55425"/>
    <w:rsid w:val="00A640FE"/>
    <w:rsid w:val="00A721F3"/>
    <w:rsid w:val="00AA4669"/>
    <w:rsid w:val="00AA5A4E"/>
    <w:rsid w:val="00AB067D"/>
    <w:rsid w:val="00AC06C1"/>
    <w:rsid w:val="00AC7B35"/>
    <w:rsid w:val="00AD4BE8"/>
    <w:rsid w:val="00AE4E9E"/>
    <w:rsid w:val="00B03350"/>
    <w:rsid w:val="00B04A5D"/>
    <w:rsid w:val="00B063DE"/>
    <w:rsid w:val="00B13A78"/>
    <w:rsid w:val="00B2774B"/>
    <w:rsid w:val="00B4057A"/>
    <w:rsid w:val="00B435AA"/>
    <w:rsid w:val="00B50BC0"/>
    <w:rsid w:val="00B8225A"/>
    <w:rsid w:val="00B87CD9"/>
    <w:rsid w:val="00B905BD"/>
    <w:rsid w:val="00B92693"/>
    <w:rsid w:val="00B957BC"/>
    <w:rsid w:val="00BA30C6"/>
    <w:rsid w:val="00BD18D1"/>
    <w:rsid w:val="00BE1878"/>
    <w:rsid w:val="00C07644"/>
    <w:rsid w:val="00C11C8F"/>
    <w:rsid w:val="00C359AB"/>
    <w:rsid w:val="00C67352"/>
    <w:rsid w:val="00C759DC"/>
    <w:rsid w:val="00C95D69"/>
    <w:rsid w:val="00CA1F4C"/>
    <w:rsid w:val="00CC2DED"/>
    <w:rsid w:val="00CC78A6"/>
    <w:rsid w:val="00CE12DB"/>
    <w:rsid w:val="00CE4F91"/>
    <w:rsid w:val="00CE7C32"/>
    <w:rsid w:val="00D16175"/>
    <w:rsid w:val="00D5337E"/>
    <w:rsid w:val="00D8047C"/>
    <w:rsid w:val="00D9366D"/>
    <w:rsid w:val="00DA21F7"/>
    <w:rsid w:val="00DB345F"/>
    <w:rsid w:val="00DB6AD6"/>
    <w:rsid w:val="00DC005F"/>
    <w:rsid w:val="00DD2ADF"/>
    <w:rsid w:val="00DD7342"/>
    <w:rsid w:val="00DE39EC"/>
    <w:rsid w:val="00DE75AF"/>
    <w:rsid w:val="00E34793"/>
    <w:rsid w:val="00E55524"/>
    <w:rsid w:val="00E5598D"/>
    <w:rsid w:val="00E6116D"/>
    <w:rsid w:val="00E63ACA"/>
    <w:rsid w:val="00E6431C"/>
    <w:rsid w:val="00E65710"/>
    <w:rsid w:val="00E7395C"/>
    <w:rsid w:val="00E822E8"/>
    <w:rsid w:val="00E94D61"/>
    <w:rsid w:val="00EA487E"/>
    <w:rsid w:val="00EB2C93"/>
    <w:rsid w:val="00EC5032"/>
    <w:rsid w:val="00F029BA"/>
    <w:rsid w:val="00F1314D"/>
    <w:rsid w:val="00F207A1"/>
    <w:rsid w:val="00F21126"/>
    <w:rsid w:val="00F75A31"/>
    <w:rsid w:val="00F86262"/>
    <w:rsid w:val="00F91B09"/>
    <w:rsid w:val="00F97090"/>
    <w:rsid w:val="00FB7289"/>
    <w:rsid w:val="00FD217E"/>
    <w:rsid w:val="00FD287E"/>
    <w:rsid w:val="00FD69BA"/>
    <w:rsid w:val="00FD6B3C"/>
    <w:rsid w:val="337FF96E"/>
    <w:rsid w:val="56FEA875"/>
    <w:rsid w:val="6BDF25B9"/>
    <w:rsid w:val="6DFA0D05"/>
    <w:rsid w:val="6FD5C4CD"/>
    <w:rsid w:val="6FD7123A"/>
    <w:rsid w:val="6FF7696B"/>
    <w:rsid w:val="77BAB7A7"/>
    <w:rsid w:val="7DF55418"/>
    <w:rsid w:val="7EBFE73B"/>
    <w:rsid w:val="7F73BE92"/>
    <w:rsid w:val="8FEF2F0D"/>
    <w:rsid w:val="9CFDC5B3"/>
    <w:rsid w:val="A779EA57"/>
    <w:rsid w:val="BBFB2645"/>
    <w:rsid w:val="BFFF8E04"/>
    <w:rsid w:val="C7DFB5D4"/>
    <w:rsid w:val="D7EFB6FD"/>
    <w:rsid w:val="E28FDB6C"/>
    <w:rsid w:val="E3F7F38E"/>
    <w:rsid w:val="FA794083"/>
    <w:rsid w:val="FDFB5EC2"/>
    <w:rsid w:val="FE3530B3"/>
    <w:rsid w:val="FEDAA98B"/>
    <w:rsid w:val="FFEDCD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weight="1.5pt"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2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3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4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5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6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7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18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styleId="19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greatwall/C:\Documents%20and%20Settings\Hangyan\Application%20Data\Microsoft\Templates\&#24179;&#32423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平级发文</Template>
  <Company>tjec</Company>
  <Pages>6</Pages>
  <Words>147</Words>
  <Characters>839</Characters>
  <Lines>6</Lines>
  <Paragraphs>1</Paragraphs>
  <TotalTime>109</TotalTime>
  <ScaleCrop>false</ScaleCrop>
  <LinksUpToDate>false</LinksUpToDate>
  <CharactersWithSpaces>985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2017-06-13T03:09:00Z</dcterms:created>
  <dc:creator>办公室</dc:creator>
  <cp:lastModifiedBy>机要室(收文)</cp:lastModifiedBy>
  <cp:lastPrinted>2014-07-03T09:59:00Z</cp:lastPrinted>
  <dcterms:modified xsi:type="dcterms:W3CDTF">2023-09-12T09:36:22Z</dcterms:modified>
  <dc:title>津经[2003]号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